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4228" w14:textId="63086804" w:rsidR="098A0012" w:rsidRDefault="008E3772" w:rsidP="008E3772">
      <w:pPr>
        <w:rPr>
          <w:b/>
          <w:bCs/>
          <w:sz w:val="32"/>
          <w:szCs w:val="32"/>
        </w:rPr>
      </w:pPr>
      <w:r>
        <w:rPr>
          <w:b/>
          <w:bCs/>
          <w:noProof/>
        </w:rPr>
        <w:drawing>
          <wp:anchor distT="0" distB="0" distL="114300" distR="114300" simplePos="0" relativeHeight="251658240" behindDoc="0" locked="0" layoutInCell="1" allowOverlap="1" wp14:anchorId="5BE1754B" wp14:editId="774680B2">
            <wp:simplePos x="0" y="0"/>
            <wp:positionH relativeFrom="column">
              <wp:posOffset>4754489</wp:posOffset>
            </wp:positionH>
            <wp:positionV relativeFrom="paragraph">
              <wp:posOffset>0</wp:posOffset>
            </wp:positionV>
            <wp:extent cx="1230630" cy="1652905"/>
            <wp:effectExtent l="0" t="0" r="7620" b="4445"/>
            <wp:wrapThrough wrapText="bothSides">
              <wp:wrapPolygon edited="0">
                <wp:start x="8025" y="0"/>
                <wp:lineTo x="1003" y="3734"/>
                <wp:lineTo x="0" y="8464"/>
                <wp:lineTo x="0" y="12447"/>
                <wp:lineTo x="669" y="16430"/>
                <wp:lineTo x="4347" y="20413"/>
                <wp:lineTo x="8025" y="21409"/>
                <wp:lineTo x="8693" y="21409"/>
                <wp:lineTo x="13375" y="21409"/>
                <wp:lineTo x="14043" y="21409"/>
                <wp:lineTo x="17721" y="20413"/>
                <wp:lineTo x="21399" y="16430"/>
                <wp:lineTo x="21399" y="5975"/>
                <wp:lineTo x="21065" y="3983"/>
                <wp:lineTo x="16050" y="996"/>
                <wp:lineTo x="14043" y="0"/>
                <wp:lineTo x="8025" y="0"/>
              </wp:wrapPolygon>
            </wp:wrapThrough>
            <wp:docPr id="338143865" name="Picture 3" descr="A green and white logo&#10;&#10;AI-generated content may be incorrect.">
              <a:extLst xmlns:a="http://schemas.openxmlformats.org/drawingml/2006/main">
                <a:ext uri="{FF2B5EF4-FFF2-40B4-BE49-F238E27FC236}">
                  <a16:creationId xmlns:a16="http://schemas.microsoft.com/office/drawing/2014/main" id="{D27ADE1C-DC9D-4EA2-A06F-2A17CBBB1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43865" name="Picture 3" descr="A green and white logo&#10;&#10;AI-generated content may be incorrect."/>
                    <pic:cNvPicPr/>
                  </pic:nvPicPr>
                  <pic:blipFill rotWithShape="1">
                    <a:blip r:embed="rId10" cstate="print">
                      <a:extLst>
                        <a:ext uri="{28A0092B-C50C-407E-A947-70E740481C1C}">
                          <a14:useLocalDpi xmlns:a14="http://schemas.microsoft.com/office/drawing/2010/main" val="0"/>
                        </a:ext>
                      </a:extLst>
                    </a:blip>
                    <a:srcRect l="9960" t="5901" r="10823" b="7423"/>
                    <a:stretch>
                      <a:fillRect/>
                    </a:stretch>
                  </pic:blipFill>
                  <pic:spPr bwMode="auto">
                    <a:xfrm>
                      <a:off x="0" y="0"/>
                      <a:ext cx="1230630" cy="1652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98A0012" w:rsidRPr="5F410F72">
        <w:rPr>
          <w:b/>
          <w:bCs/>
          <w:sz w:val="32"/>
          <w:szCs w:val="32"/>
        </w:rPr>
        <w:t>Suicide and Self harm Prevention Small Grants 202</w:t>
      </w:r>
      <w:r w:rsidR="635CCE1A" w:rsidRPr="5F410F72">
        <w:rPr>
          <w:b/>
          <w:bCs/>
          <w:sz w:val="32"/>
          <w:szCs w:val="32"/>
        </w:rPr>
        <w:t>6</w:t>
      </w:r>
      <w:r w:rsidR="098A0012" w:rsidRPr="5F410F72">
        <w:rPr>
          <w:b/>
          <w:bCs/>
          <w:sz w:val="32"/>
          <w:szCs w:val="32"/>
        </w:rPr>
        <w:t>/2</w:t>
      </w:r>
      <w:r w:rsidR="3A51800E" w:rsidRPr="5F410F72">
        <w:rPr>
          <w:b/>
          <w:bCs/>
          <w:sz w:val="32"/>
          <w:szCs w:val="32"/>
        </w:rPr>
        <w:t>7</w:t>
      </w:r>
    </w:p>
    <w:p w14:paraId="63D22D6D" w14:textId="6CB43265" w:rsidR="098A0012" w:rsidRDefault="514A3BE3" w:rsidP="008E3772">
      <w:pPr>
        <w:rPr>
          <w:b/>
          <w:bCs/>
          <w:sz w:val="32"/>
          <w:szCs w:val="32"/>
        </w:rPr>
      </w:pPr>
      <w:r w:rsidRPr="5F410F72">
        <w:rPr>
          <w:b/>
          <w:bCs/>
          <w:sz w:val="32"/>
          <w:szCs w:val="32"/>
        </w:rPr>
        <w:t>Supporting information</w:t>
      </w:r>
      <w:r w:rsidR="098A0012" w:rsidRPr="5F410F72">
        <w:rPr>
          <w:b/>
          <w:bCs/>
          <w:sz w:val="32"/>
          <w:szCs w:val="32"/>
        </w:rPr>
        <w:t xml:space="preserve"> </w:t>
      </w:r>
    </w:p>
    <w:p w14:paraId="7BCCE1F8" w14:textId="10FCAB1A" w:rsidR="5F410F72" w:rsidRDefault="5F410F72" w:rsidP="5F410F72">
      <w:pPr>
        <w:jc w:val="center"/>
        <w:rPr>
          <w:b/>
          <w:bCs/>
        </w:rPr>
      </w:pPr>
    </w:p>
    <w:p w14:paraId="2DCF8988" w14:textId="16DB2912" w:rsidR="36E56672" w:rsidRDefault="36E56672" w:rsidP="5F410F72">
      <w:pPr>
        <w:rPr>
          <w:b/>
          <w:bCs/>
          <w:sz w:val="28"/>
          <w:szCs w:val="28"/>
        </w:rPr>
      </w:pPr>
      <w:r w:rsidRPr="5F410F72">
        <w:rPr>
          <w:b/>
          <w:bCs/>
          <w:sz w:val="28"/>
          <w:szCs w:val="28"/>
        </w:rPr>
        <w:t>Grant application process</w:t>
      </w:r>
    </w:p>
    <w:p w14:paraId="5A418C66" w14:textId="252F62F4" w:rsidR="0F32AD45" w:rsidRDefault="0F32AD45">
      <w:r>
        <w:t xml:space="preserve">The applicant will be required to complete the SSHP Small Grants Application form and submit this </w:t>
      </w:r>
      <w:r w:rsidR="3EF8614C">
        <w:t>by the closing date specified on the form. All the applications will be reviewed by a panel</w:t>
      </w:r>
      <w:r w:rsidR="12E6AA33">
        <w:t xml:space="preserve"> comprised of members of the SSHP team, an independent party and a person with lived experience.</w:t>
      </w:r>
      <w:r w:rsidR="3EF8614C">
        <w:t xml:space="preserve"> </w:t>
      </w:r>
    </w:p>
    <w:p w14:paraId="30479A34" w14:textId="6D6D5406" w:rsidR="321EB545" w:rsidRDefault="321EB545">
      <w:r>
        <w:t>Once the applications have been reviewed, t</w:t>
      </w:r>
      <w:r w:rsidR="7FA9D589">
        <w:t>he applica</w:t>
      </w:r>
      <w:r w:rsidR="559F2246">
        <w:t>nts will receive a letter stating one</w:t>
      </w:r>
      <w:r w:rsidR="5F08E5DC">
        <w:t xml:space="preserve"> of four possible outcomes: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7215"/>
      </w:tblGrid>
      <w:tr w:rsidR="5F410F72" w14:paraId="518E0EB3" w14:textId="77777777" w:rsidTr="4CDC3135">
        <w:trPr>
          <w:trHeight w:val="300"/>
        </w:trPr>
        <w:tc>
          <w:tcPr>
            <w:tcW w:w="2400" w:type="dxa"/>
            <w:tcMar>
              <w:left w:w="105" w:type="dxa"/>
              <w:right w:w="105" w:type="dxa"/>
            </w:tcMar>
          </w:tcPr>
          <w:p w14:paraId="566F7EE3" w14:textId="3F69892A" w:rsidR="01E2456A" w:rsidRDefault="01E2456A" w:rsidP="5F410F72">
            <w:pPr>
              <w:spacing w:line="276" w:lineRule="auto"/>
              <w:rPr>
                <w:b/>
                <w:bCs/>
                <w:color w:val="000000" w:themeColor="text1"/>
              </w:rPr>
            </w:pPr>
            <w:r w:rsidRPr="5F410F72">
              <w:rPr>
                <w:b/>
                <w:bCs/>
                <w:color w:val="000000" w:themeColor="text1"/>
              </w:rPr>
              <w:t>Outcome</w:t>
            </w:r>
          </w:p>
        </w:tc>
        <w:tc>
          <w:tcPr>
            <w:tcW w:w="7215" w:type="dxa"/>
            <w:tcMar>
              <w:left w:w="105" w:type="dxa"/>
              <w:right w:w="105" w:type="dxa"/>
            </w:tcMar>
          </w:tcPr>
          <w:p w14:paraId="1F99252D" w14:textId="506BA148" w:rsidR="01E2456A" w:rsidRDefault="01E2456A" w:rsidP="5F410F72">
            <w:pPr>
              <w:spacing w:line="276" w:lineRule="auto"/>
              <w:rPr>
                <w:b/>
                <w:bCs/>
                <w:color w:val="000000" w:themeColor="text1"/>
              </w:rPr>
            </w:pPr>
            <w:r w:rsidRPr="5F410F72">
              <w:rPr>
                <w:b/>
                <w:bCs/>
                <w:color w:val="000000" w:themeColor="text1"/>
              </w:rPr>
              <w:t>Explanation</w:t>
            </w:r>
          </w:p>
        </w:tc>
      </w:tr>
      <w:tr w:rsidR="5F410F72" w14:paraId="1D6B79C2" w14:textId="77777777" w:rsidTr="4CDC3135">
        <w:trPr>
          <w:trHeight w:val="300"/>
        </w:trPr>
        <w:tc>
          <w:tcPr>
            <w:tcW w:w="2400" w:type="dxa"/>
            <w:tcMar>
              <w:left w:w="105" w:type="dxa"/>
              <w:right w:w="105" w:type="dxa"/>
            </w:tcMar>
          </w:tcPr>
          <w:p w14:paraId="5EB0C73F" w14:textId="2E69BBC2" w:rsidR="5F410F72" w:rsidRDefault="5F410F72" w:rsidP="5F410F72">
            <w:pPr>
              <w:spacing w:line="276" w:lineRule="auto"/>
              <w:rPr>
                <w:color w:val="000000" w:themeColor="text1"/>
              </w:rPr>
            </w:pPr>
            <w:r w:rsidRPr="5F410F72">
              <w:rPr>
                <w:color w:val="000000" w:themeColor="text1"/>
              </w:rPr>
              <w:t>Decline</w:t>
            </w:r>
          </w:p>
        </w:tc>
        <w:tc>
          <w:tcPr>
            <w:tcW w:w="7215" w:type="dxa"/>
            <w:tcMar>
              <w:left w:w="105" w:type="dxa"/>
              <w:right w:w="105" w:type="dxa"/>
            </w:tcMar>
          </w:tcPr>
          <w:p w14:paraId="2930D1C4" w14:textId="74A36C9E" w:rsidR="5F410F72" w:rsidRDefault="5F410F72" w:rsidP="5F410F72">
            <w:pPr>
              <w:spacing w:line="276" w:lineRule="auto"/>
              <w:rPr>
                <w:color w:val="000000" w:themeColor="text1"/>
              </w:rPr>
            </w:pPr>
            <w:r w:rsidRPr="5F410F72">
              <w:rPr>
                <w:color w:val="000000" w:themeColor="text1"/>
              </w:rPr>
              <w:t>The application does not meet the criteria set out in the invitation letter and application form, and cannot be supported</w:t>
            </w:r>
          </w:p>
        </w:tc>
      </w:tr>
      <w:tr w:rsidR="5F410F72" w14:paraId="660B24FB" w14:textId="77777777" w:rsidTr="4CDC3135">
        <w:trPr>
          <w:trHeight w:val="300"/>
        </w:trPr>
        <w:tc>
          <w:tcPr>
            <w:tcW w:w="2400" w:type="dxa"/>
            <w:tcMar>
              <w:left w:w="105" w:type="dxa"/>
              <w:right w:w="105" w:type="dxa"/>
            </w:tcMar>
          </w:tcPr>
          <w:p w14:paraId="0621E397" w14:textId="0E987FE8" w:rsidR="5F410F72" w:rsidRDefault="5F410F72" w:rsidP="5F410F72">
            <w:pPr>
              <w:spacing w:line="276" w:lineRule="auto"/>
              <w:rPr>
                <w:color w:val="000000" w:themeColor="text1"/>
              </w:rPr>
            </w:pPr>
            <w:r w:rsidRPr="5F410F72">
              <w:rPr>
                <w:color w:val="000000" w:themeColor="text1"/>
              </w:rPr>
              <w:t>Defer</w:t>
            </w:r>
          </w:p>
        </w:tc>
        <w:tc>
          <w:tcPr>
            <w:tcW w:w="7215" w:type="dxa"/>
            <w:tcMar>
              <w:left w:w="105" w:type="dxa"/>
              <w:right w:w="105" w:type="dxa"/>
            </w:tcMar>
          </w:tcPr>
          <w:p w14:paraId="02924FBC" w14:textId="784A4969" w:rsidR="5F410F72" w:rsidRDefault="5F410F72" w:rsidP="4CDC3135">
            <w:pPr>
              <w:spacing w:line="276" w:lineRule="auto"/>
              <w:rPr>
                <w:color w:val="000000" w:themeColor="text1"/>
              </w:rPr>
            </w:pPr>
            <w:r w:rsidRPr="4CDC3135">
              <w:rPr>
                <w:color w:val="000000" w:themeColor="text1"/>
              </w:rPr>
              <w:t>The application meets the criteria, but either requires further development as a proposal, or is not deliverable within the stated timeframe (by March 31</w:t>
            </w:r>
            <w:r w:rsidRPr="4CDC3135">
              <w:rPr>
                <w:color w:val="000000" w:themeColor="text1"/>
                <w:vertAlign w:val="superscript"/>
              </w:rPr>
              <w:t>st</w:t>
            </w:r>
            <w:r w:rsidRPr="4CDC3135">
              <w:rPr>
                <w:color w:val="000000" w:themeColor="text1"/>
              </w:rPr>
              <w:t>, 202</w:t>
            </w:r>
            <w:r w:rsidR="001E4494">
              <w:rPr>
                <w:color w:val="000000" w:themeColor="text1"/>
              </w:rPr>
              <w:t>7</w:t>
            </w:r>
            <w:r w:rsidRPr="4CDC3135">
              <w:rPr>
                <w:color w:val="000000" w:themeColor="text1"/>
              </w:rPr>
              <w:t>). A revised application could be made in the next financial cycle</w:t>
            </w:r>
          </w:p>
        </w:tc>
      </w:tr>
      <w:tr w:rsidR="5F410F72" w14:paraId="6E93C12C" w14:textId="77777777" w:rsidTr="4CDC3135">
        <w:trPr>
          <w:trHeight w:val="300"/>
        </w:trPr>
        <w:tc>
          <w:tcPr>
            <w:tcW w:w="2400" w:type="dxa"/>
            <w:tcMar>
              <w:left w:w="105" w:type="dxa"/>
              <w:right w:w="105" w:type="dxa"/>
            </w:tcMar>
          </w:tcPr>
          <w:p w14:paraId="4C765497" w14:textId="3F27F159" w:rsidR="5F410F72" w:rsidRDefault="5F410F72" w:rsidP="5F410F72">
            <w:pPr>
              <w:spacing w:line="276" w:lineRule="auto"/>
              <w:rPr>
                <w:color w:val="000000" w:themeColor="text1"/>
              </w:rPr>
            </w:pPr>
            <w:r w:rsidRPr="5F410F72">
              <w:rPr>
                <w:color w:val="000000" w:themeColor="text1"/>
              </w:rPr>
              <w:t>Accept with conditions</w:t>
            </w:r>
          </w:p>
        </w:tc>
        <w:tc>
          <w:tcPr>
            <w:tcW w:w="7215" w:type="dxa"/>
            <w:tcMar>
              <w:left w:w="105" w:type="dxa"/>
              <w:right w:w="105" w:type="dxa"/>
            </w:tcMar>
          </w:tcPr>
          <w:p w14:paraId="1B4EA671" w14:textId="0E4B24FA" w:rsidR="5F410F72" w:rsidRDefault="5F410F72" w:rsidP="5F410F72">
            <w:pPr>
              <w:spacing w:line="276" w:lineRule="auto"/>
              <w:rPr>
                <w:color w:val="000000" w:themeColor="text1"/>
              </w:rPr>
            </w:pPr>
            <w:r w:rsidRPr="5F410F72">
              <w:rPr>
                <w:color w:val="000000" w:themeColor="text1"/>
              </w:rPr>
              <w:t xml:space="preserve">The application meets the </w:t>
            </w:r>
            <w:proofErr w:type="gramStart"/>
            <w:r w:rsidRPr="5F410F72">
              <w:rPr>
                <w:color w:val="000000" w:themeColor="text1"/>
              </w:rPr>
              <w:t>criteria,</w:t>
            </w:r>
            <w:proofErr w:type="gramEnd"/>
            <w:r w:rsidRPr="5F410F72">
              <w:rPr>
                <w:color w:val="000000" w:themeColor="text1"/>
              </w:rPr>
              <w:t xml:space="preserve"> the proposed activity is considered deliverable in the timeframe and will be supported with some agreed changes to project design and/or revisions to costings. E.g.: costs that relate specifically to staff time in established organisations have been revised </w:t>
            </w:r>
          </w:p>
        </w:tc>
      </w:tr>
      <w:tr w:rsidR="5F410F72" w14:paraId="0E380B0E" w14:textId="77777777" w:rsidTr="4CDC3135">
        <w:trPr>
          <w:trHeight w:val="300"/>
        </w:trPr>
        <w:tc>
          <w:tcPr>
            <w:tcW w:w="2400" w:type="dxa"/>
            <w:tcMar>
              <w:left w:w="105" w:type="dxa"/>
              <w:right w:w="105" w:type="dxa"/>
            </w:tcMar>
          </w:tcPr>
          <w:p w14:paraId="4F865064" w14:textId="1928CE08" w:rsidR="5F410F72" w:rsidRDefault="5F410F72" w:rsidP="5F410F72">
            <w:pPr>
              <w:spacing w:line="276" w:lineRule="auto"/>
              <w:rPr>
                <w:color w:val="000000" w:themeColor="text1"/>
              </w:rPr>
            </w:pPr>
            <w:r w:rsidRPr="5F410F72">
              <w:rPr>
                <w:color w:val="000000" w:themeColor="text1"/>
              </w:rPr>
              <w:t xml:space="preserve">Accept </w:t>
            </w:r>
          </w:p>
        </w:tc>
        <w:tc>
          <w:tcPr>
            <w:tcW w:w="7215" w:type="dxa"/>
            <w:tcMar>
              <w:left w:w="105" w:type="dxa"/>
              <w:right w:w="105" w:type="dxa"/>
            </w:tcMar>
          </w:tcPr>
          <w:p w14:paraId="63565F56" w14:textId="776F83AC" w:rsidR="5F410F72" w:rsidRDefault="5F410F72" w:rsidP="5F410F72">
            <w:pPr>
              <w:spacing w:line="276" w:lineRule="auto"/>
              <w:rPr>
                <w:color w:val="000000" w:themeColor="text1"/>
              </w:rPr>
            </w:pPr>
            <w:r w:rsidRPr="5F410F72">
              <w:rPr>
                <w:color w:val="000000" w:themeColor="text1"/>
              </w:rPr>
              <w:t>The application meets the criteria, the proposed activity is considered deliverable in the timeframe, and will be supported in full</w:t>
            </w:r>
          </w:p>
        </w:tc>
      </w:tr>
    </w:tbl>
    <w:p w14:paraId="258540DA" w14:textId="7C11D349" w:rsidR="705DFD6A" w:rsidRDefault="705DFD6A" w:rsidP="5F410F72">
      <w:r w:rsidRPr="5F410F72">
        <w:t xml:space="preserve"> </w:t>
      </w:r>
    </w:p>
    <w:p w14:paraId="32E812CA" w14:textId="00F3747E" w:rsidR="308BBB99" w:rsidRDefault="308BBB99" w:rsidP="5F410F72">
      <w:r w:rsidRPr="5F410F72">
        <w:t xml:space="preserve">If you are successful in your application, you will be allocated a member of the SSHP Team to </w:t>
      </w:r>
      <w:r w:rsidR="77DF8E6E" w:rsidRPr="5F410F72">
        <w:t>provide</w:t>
      </w:r>
      <w:r w:rsidR="75EF6CD1" w:rsidRPr="5F410F72">
        <w:t xml:space="preserve"> support</w:t>
      </w:r>
      <w:r w:rsidRPr="5F410F72">
        <w:t xml:space="preserve"> for the duration of your projec</w:t>
      </w:r>
      <w:r w:rsidR="6271D2CB" w:rsidRPr="5F410F72">
        <w:t>t</w:t>
      </w:r>
      <w:r w:rsidR="060C458A" w:rsidRPr="5F410F72">
        <w:t xml:space="preserve">. </w:t>
      </w:r>
    </w:p>
    <w:p w14:paraId="13FCFEFF" w14:textId="10B1D920" w:rsidR="060C458A" w:rsidRDefault="060C458A" w:rsidP="5F410F72">
      <w:r w:rsidRPr="4CDC3135">
        <w:t>All applicants</w:t>
      </w:r>
      <w:r w:rsidR="5E2B04D0" w:rsidRPr="4CDC3135">
        <w:t xml:space="preserve"> and their staff and colleagues</w:t>
      </w:r>
      <w:r w:rsidRPr="4CDC3135">
        <w:t xml:space="preserve"> are encouraged to </w:t>
      </w:r>
      <w:r w:rsidR="274B2E0B" w:rsidRPr="4CDC3135">
        <w:t>complete the SSHP Suicide Awareness e-module (</w:t>
      </w:r>
      <w:hyperlink r:id="rId11" w:history="1">
        <w:r w:rsidR="00ED7074" w:rsidRPr="00ED6AF0">
          <w:rPr>
            <w:rStyle w:val="Hyperlink"/>
          </w:rPr>
          <w:t>https://www.sshp.wales/en/sshp-suicide-awareness-e-module/</w:t>
        </w:r>
      </w:hyperlink>
      <w:r w:rsidR="00ED7074">
        <w:t>)</w:t>
      </w:r>
      <w:r w:rsidR="274B2E0B" w:rsidRPr="4CDC3135">
        <w:t xml:space="preserve"> and </w:t>
      </w:r>
      <w:r w:rsidRPr="4CDC3135">
        <w:t xml:space="preserve">read the language statement </w:t>
      </w:r>
      <w:r w:rsidR="0F12BBAC" w:rsidRPr="4CDC3135">
        <w:t>(</w:t>
      </w:r>
      <w:hyperlink r:id="rId12">
        <w:r w:rsidR="0F12BBAC" w:rsidRPr="4CDC3135">
          <w:rPr>
            <w:rStyle w:val="Hyperlink"/>
          </w:rPr>
          <w:t>https://www.sshp.wales/en/knowledge-base/use-of-language/</w:t>
        </w:r>
      </w:hyperlink>
      <w:r w:rsidR="0F12BBAC" w:rsidRPr="4CDC3135">
        <w:t>)</w:t>
      </w:r>
    </w:p>
    <w:p w14:paraId="4C727E77" w14:textId="324B452F" w:rsidR="008E3772" w:rsidRDefault="68377FBF" w:rsidP="5F410F72">
      <w:r w:rsidRPr="4CDC3135">
        <w:t xml:space="preserve">You can find the timeline for the process </w:t>
      </w:r>
      <w:r w:rsidR="368E65BF" w:rsidRPr="4CDC3135">
        <w:t xml:space="preserve">from application to award </w:t>
      </w:r>
      <w:r w:rsidRPr="4CDC3135">
        <w:t xml:space="preserve">within the annex attached to the application form. </w:t>
      </w:r>
    </w:p>
    <w:p w14:paraId="2E942C13" w14:textId="6684FA5C" w:rsidR="1E2988C5" w:rsidRPr="008E3772" w:rsidRDefault="1E2988C5" w:rsidP="5F410F72">
      <w:r w:rsidRPr="5F410F72">
        <w:rPr>
          <w:b/>
          <w:bCs/>
        </w:rPr>
        <w:lastRenderedPageBreak/>
        <w:t xml:space="preserve">What will </w:t>
      </w:r>
      <w:r w:rsidRPr="5F410F72">
        <w:rPr>
          <w:b/>
          <w:bCs/>
          <w:i/>
          <w:iCs/>
          <w:u w:val="single"/>
        </w:rPr>
        <w:t>not</w:t>
      </w:r>
      <w:r w:rsidRPr="5F410F72">
        <w:rPr>
          <w:b/>
          <w:bCs/>
        </w:rPr>
        <w:t xml:space="preserve"> be funded through the grant?</w:t>
      </w:r>
    </w:p>
    <w:p w14:paraId="0745D37C" w14:textId="5F29DE1D" w:rsidR="1E2988C5" w:rsidRDefault="1E2988C5">
      <w:r>
        <w:t xml:space="preserve">The grant funding cannot be used to initiate a new service or subsidise an existing service. This is because the funding is time limited, and the sustainability of such services could not be supported. </w:t>
      </w:r>
    </w:p>
    <w:p w14:paraId="49F7663F" w14:textId="7CDFD774" w:rsidR="00A01738" w:rsidRPr="0091373B" w:rsidRDefault="00AD38E0" w:rsidP="6F95EB5B">
      <w:r w:rsidRPr="00FE5EA1">
        <w:t xml:space="preserve">The grant funding cannot be used to repeat the same project or activity previously funded by this grant. Previous grant recipients may apply for funding for a new project or </w:t>
      </w:r>
      <w:proofErr w:type="gramStart"/>
      <w:r w:rsidRPr="00FE5EA1">
        <w:t>activity, but</w:t>
      </w:r>
      <w:proofErr w:type="gramEnd"/>
      <w:r w:rsidRPr="00FE5EA1">
        <w:t xml:space="preserve"> must demonstrate how it is different or adds value. If you are unsure, please contact the team for advice before making an application.</w:t>
      </w:r>
    </w:p>
    <w:p w14:paraId="4F160335" w14:textId="641D0FE3" w:rsidR="1E2988C5" w:rsidRDefault="1E2988C5">
      <w:r>
        <w:t>The grant funding cannot be used to fund staff training.</w:t>
      </w:r>
    </w:p>
    <w:p w14:paraId="5335D2D7" w14:textId="0B002F30" w:rsidR="1E2988C5" w:rsidRDefault="1E2988C5" w:rsidP="5F410F72">
      <w:pPr>
        <w:rPr>
          <w:rFonts w:ascii="Aptos" w:eastAsia="Aptos" w:hAnsi="Aptos" w:cs="Aptos"/>
          <w:b/>
          <w:bCs/>
        </w:rPr>
      </w:pPr>
      <w:r w:rsidRPr="5F410F72">
        <w:rPr>
          <w:rFonts w:ascii="Aptos" w:eastAsia="Aptos" w:hAnsi="Aptos" w:cs="Aptos"/>
          <w:b/>
          <w:bCs/>
        </w:rPr>
        <w:t xml:space="preserve">Materials and branding </w:t>
      </w:r>
    </w:p>
    <w:p w14:paraId="73E88E33" w14:textId="34DA621B" w:rsidR="5F410F72" w:rsidRDefault="1E2988C5" w:rsidP="5F410F72">
      <w:pPr>
        <w:rPr>
          <w:rFonts w:ascii="Aptos" w:eastAsia="Aptos" w:hAnsi="Aptos" w:cs="Aptos"/>
        </w:rPr>
      </w:pPr>
      <w:r w:rsidRPr="2C879DED">
        <w:rPr>
          <w:rFonts w:ascii="Aptos" w:eastAsia="Aptos" w:hAnsi="Aptos" w:cs="Aptos"/>
        </w:rPr>
        <w:t>If you are awarded a grant, any materials or property developed as part of your project must include the SSHP grants logo and be approved by the regional lead for your area, who may consult national colleagues as needed. This is due to the sensitive nature of suicide and self-harm and the need to ensure that all messaging is safe, evidence-informed, and consistent with national guidance.</w:t>
      </w:r>
    </w:p>
    <w:p w14:paraId="1E539F33" w14:textId="2DF1802C" w:rsidR="5F410F72" w:rsidRDefault="13FB8F07" w:rsidP="4CDC3135">
      <w:pPr>
        <w:rPr>
          <w:b/>
          <w:bCs/>
        </w:rPr>
      </w:pPr>
      <w:r w:rsidRPr="4CDC3135">
        <w:rPr>
          <w:b/>
          <w:bCs/>
          <w:sz w:val="28"/>
          <w:szCs w:val="28"/>
        </w:rPr>
        <w:t>Application Form</w:t>
      </w:r>
      <w:r w:rsidRPr="4CDC3135">
        <w:rPr>
          <w:b/>
          <w:bCs/>
        </w:rPr>
        <w:t xml:space="preserve"> </w:t>
      </w:r>
    </w:p>
    <w:p w14:paraId="042768FD" w14:textId="21F73436" w:rsidR="7F9D3CD2" w:rsidRDefault="7F9D3CD2" w:rsidP="309471E8">
      <w:pPr>
        <w:rPr>
          <w:b/>
          <w:bCs/>
        </w:rPr>
      </w:pPr>
      <w:r w:rsidRPr="309471E8">
        <w:rPr>
          <w:b/>
          <w:bCs/>
        </w:rPr>
        <w:t>Do I need to meet all six objectives listed at the bottom of the form, or is it ok to meet one or some of them?</w:t>
      </w:r>
    </w:p>
    <w:p w14:paraId="46165616" w14:textId="20268BA7" w:rsidR="6EBF65FA" w:rsidRDefault="4DA48EF5">
      <w:r>
        <w:t xml:space="preserve">You do not need to meet all 6 of the objectives.  Often, projects or interventions can address more than one, but your work may also be specifically focussed on one area. What we need to be able to see in your application is </w:t>
      </w:r>
      <w:r w:rsidRPr="309471E8">
        <w:rPr>
          <w:u w:val="single"/>
        </w:rPr>
        <w:t>assurance</w:t>
      </w:r>
      <w:r w:rsidR="3C9D7148">
        <w:t xml:space="preserve"> that you understand the strategic context in which suicide and </w:t>
      </w:r>
      <w:r w:rsidR="27A27DD0">
        <w:t>self-harm</w:t>
      </w:r>
      <w:r w:rsidR="3C9D7148">
        <w:t xml:space="preserve"> management and prevention </w:t>
      </w:r>
      <w:r w:rsidR="04917859">
        <w:t xml:space="preserve">in delivered in Wales, and for you to </w:t>
      </w:r>
      <w:r w:rsidR="04917859" w:rsidRPr="309471E8">
        <w:rPr>
          <w:u w:val="single"/>
        </w:rPr>
        <w:t>demonstrate how the</w:t>
      </w:r>
      <w:r w:rsidR="7F4F1579" w:rsidRPr="309471E8">
        <w:rPr>
          <w:u w:val="single"/>
        </w:rPr>
        <w:t xml:space="preserve"> outcomes</w:t>
      </w:r>
      <w:r w:rsidR="7F4F1579">
        <w:t xml:space="preserve"> of the</w:t>
      </w:r>
      <w:r w:rsidR="04917859">
        <w:t xml:space="preserve"> work that you’re describing is going to contribute to the achievement of the strategic objective(s) </w:t>
      </w:r>
    </w:p>
    <w:p w14:paraId="4825221D" w14:textId="3E533699" w:rsidR="6EBF65FA" w:rsidRDefault="6EBF65FA" w:rsidP="008E3772">
      <w:pPr>
        <w:spacing w:after="0"/>
      </w:pPr>
    </w:p>
    <w:p w14:paraId="5D64C513" w14:textId="495A1E6A" w:rsidR="0861AD14" w:rsidRDefault="0861AD14" w:rsidP="309471E8">
      <w:pPr>
        <w:rPr>
          <w:b/>
          <w:bCs/>
        </w:rPr>
      </w:pPr>
      <w:r w:rsidRPr="309471E8">
        <w:rPr>
          <w:b/>
          <w:bCs/>
        </w:rPr>
        <w:t>What if my project is piloting something new and the specific activity doesn’t have a clear evidence base yet?</w:t>
      </w:r>
    </w:p>
    <w:p w14:paraId="04BBBA10" w14:textId="29BFFEDE" w:rsidR="6EBF65FA" w:rsidRDefault="057895C6" w:rsidP="4CDC3135">
      <w:r>
        <w:t>Sometimes when you’re developing a new approach to a problem or issue the</w:t>
      </w:r>
      <w:r w:rsidR="5712349D">
        <w:t>re</w:t>
      </w:r>
      <w:r>
        <w:t xml:space="preserve"> may not be a developed evidence base.  There may be evidence around general approaches</w:t>
      </w:r>
      <w:r w:rsidR="66D86DEE">
        <w:t xml:space="preserve"> used in other areas</w:t>
      </w:r>
      <w:r>
        <w:t>, for example effectiveness of peer support groups, skills-b</w:t>
      </w:r>
      <w:r w:rsidR="18342213">
        <w:t>ased training approaches</w:t>
      </w:r>
      <w:r w:rsidR="11190F9A">
        <w:t xml:space="preserve"> that you could draw on</w:t>
      </w:r>
      <w:r w:rsidR="3528A7CE">
        <w:t xml:space="preserve">.  </w:t>
      </w:r>
      <w:r w:rsidR="0FD0CE30">
        <w:t>For all applications</w:t>
      </w:r>
      <w:r w:rsidR="3528A7CE">
        <w:t xml:space="preserve">, good practice would be to build an evaluation process into the work that you are doing, so that you can demonstrate </w:t>
      </w:r>
      <w:r w:rsidR="7D04E8B6">
        <w:t xml:space="preserve">the effectiveness of the </w:t>
      </w:r>
      <w:r w:rsidR="795C8237">
        <w:t>work and</w:t>
      </w:r>
      <w:r w:rsidR="7D04E8B6">
        <w:t xml:space="preserve"> identify any changes you might make </w:t>
      </w:r>
      <w:r w:rsidR="69176AB8">
        <w:t>to improve next time.  This can help to contribute to the evidence base going fo</w:t>
      </w:r>
      <w:r w:rsidR="4DBE1276">
        <w:t>r</w:t>
      </w:r>
      <w:r w:rsidR="69176AB8">
        <w:t>ward.</w:t>
      </w:r>
      <w:r w:rsidR="213E34CD">
        <w:t xml:space="preserve"> </w:t>
      </w:r>
    </w:p>
    <w:p w14:paraId="5CE03B14" w14:textId="77777777" w:rsidR="00EE2D26" w:rsidRDefault="00EE2D26" w:rsidP="4CDC3135"/>
    <w:p w14:paraId="060C35BC" w14:textId="508B11FB" w:rsidR="6EBF65FA" w:rsidRDefault="52AF3767" w:rsidP="5F410F72">
      <w:pPr>
        <w:rPr>
          <w:b/>
          <w:bCs/>
        </w:rPr>
      </w:pPr>
      <w:r w:rsidRPr="5F410F72">
        <w:rPr>
          <w:b/>
          <w:bCs/>
        </w:rPr>
        <w:lastRenderedPageBreak/>
        <w:t>Will I be able to ask questions about completing the</w:t>
      </w:r>
      <w:r w:rsidR="50820444" w:rsidRPr="5F410F72">
        <w:rPr>
          <w:b/>
          <w:bCs/>
        </w:rPr>
        <w:t xml:space="preserve"> application form? </w:t>
      </w:r>
    </w:p>
    <w:p w14:paraId="193455C5" w14:textId="0E912456" w:rsidR="3D247382" w:rsidRDefault="50820444">
      <w:r>
        <w:t xml:space="preserve">The SSHP Team will be running a series of </w:t>
      </w:r>
      <w:r w:rsidR="784D854C">
        <w:t>10-minute</w:t>
      </w:r>
      <w:r>
        <w:t xml:space="preserve"> </w:t>
      </w:r>
      <w:r w:rsidR="4843007E">
        <w:t>drop-in</w:t>
      </w:r>
      <w:r>
        <w:t xml:space="preserve"> sessions to answer an</w:t>
      </w:r>
      <w:r w:rsidR="0C8E09FA">
        <w:t>y</w:t>
      </w:r>
      <w:r>
        <w:t xml:space="preserve"> questions you may have about the application form</w:t>
      </w:r>
      <w:r w:rsidR="4D87D7C6">
        <w:t xml:space="preserve">. To book in to a session, please email </w:t>
      </w:r>
      <w:hyperlink r:id="rId13">
        <w:r w:rsidR="4D87D7C6" w:rsidRPr="4CDC3135">
          <w:rPr>
            <w:rStyle w:val="Hyperlink"/>
          </w:rPr>
          <w:t>sshp.</w:t>
        </w:r>
        <w:r w:rsidR="6B8861DB" w:rsidRPr="4CDC3135">
          <w:rPr>
            <w:rStyle w:val="Hyperlink"/>
          </w:rPr>
          <w:t>cymru@wales.nhs.uk</w:t>
        </w:r>
      </w:hyperlink>
      <w:r w:rsidR="6B8861DB">
        <w:t xml:space="preserve"> and a member of the team will let you know the dates and times the sessions are being held.</w:t>
      </w:r>
    </w:p>
    <w:sectPr w:rsidR="3D247382">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23BD" w14:textId="77777777" w:rsidR="008944B3" w:rsidRDefault="008944B3" w:rsidP="00C600AD">
      <w:pPr>
        <w:spacing w:after="0" w:line="240" w:lineRule="auto"/>
      </w:pPr>
      <w:r>
        <w:separator/>
      </w:r>
    </w:p>
  </w:endnote>
  <w:endnote w:type="continuationSeparator" w:id="0">
    <w:p w14:paraId="676E5B02" w14:textId="77777777" w:rsidR="008944B3" w:rsidRDefault="008944B3" w:rsidP="00C6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769D" w14:textId="0C4931BC" w:rsidR="00C600AD" w:rsidRDefault="008E3772">
    <w:pPr>
      <w:pStyle w:val="Footer"/>
    </w:pPr>
    <w:r>
      <w:rPr>
        <w:noProof/>
      </w:rPr>
      <w:drawing>
        <wp:anchor distT="0" distB="0" distL="114300" distR="114300" simplePos="0" relativeHeight="251658242" behindDoc="0" locked="0" layoutInCell="1" allowOverlap="1" wp14:anchorId="3DCC2AA2" wp14:editId="594D2A8A">
          <wp:simplePos x="0" y="0"/>
          <wp:positionH relativeFrom="column">
            <wp:posOffset>4163793</wp:posOffset>
          </wp:positionH>
          <wp:positionV relativeFrom="paragraph">
            <wp:posOffset>64770</wp:posOffset>
          </wp:positionV>
          <wp:extent cx="2012189" cy="558000"/>
          <wp:effectExtent l="0" t="0" r="7620" b="0"/>
          <wp:wrapThrough wrapText="bothSides">
            <wp:wrapPolygon edited="0">
              <wp:start x="2250" y="0"/>
              <wp:lineTo x="0" y="6642"/>
              <wp:lineTo x="0" y="13285"/>
              <wp:lineTo x="1841" y="20665"/>
              <wp:lineTo x="2250" y="20665"/>
              <wp:lineTo x="16364" y="20665"/>
              <wp:lineTo x="21477" y="20665"/>
              <wp:lineTo x="21477" y="11809"/>
              <wp:lineTo x="19023" y="9595"/>
              <wp:lineTo x="18614" y="1476"/>
              <wp:lineTo x="3477" y="0"/>
              <wp:lineTo x="2250" y="0"/>
            </wp:wrapPolygon>
          </wp:wrapThrough>
          <wp:docPr id="1605237601" name="Picture 2" descr="A black and white logo&#10;&#10;AI-generated content may be incorrect.">
            <a:extLst xmlns:a="http://schemas.openxmlformats.org/drawingml/2006/main">
              <a:ext uri="{FF2B5EF4-FFF2-40B4-BE49-F238E27FC236}">
                <a16:creationId xmlns:a16="http://schemas.microsoft.com/office/drawing/2014/main" id="{C462857B-D667-40CD-8463-83DB03F52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37601"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12189" cy="55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10703AB" wp14:editId="0A425A55">
          <wp:simplePos x="0" y="0"/>
          <wp:positionH relativeFrom="column">
            <wp:posOffset>-232214</wp:posOffset>
          </wp:positionH>
          <wp:positionV relativeFrom="paragraph">
            <wp:posOffset>-96520</wp:posOffset>
          </wp:positionV>
          <wp:extent cx="2231390" cy="775335"/>
          <wp:effectExtent l="0" t="0" r="0" b="0"/>
          <wp:wrapThrough wrapText="bothSides">
            <wp:wrapPolygon edited="0">
              <wp:start x="2397" y="4246"/>
              <wp:lineTo x="1475" y="15391"/>
              <wp:lineTo x="1660" y="17514"/>
              <wp:lineTo x="3688" y="19636"/>
              <wp:lineTo x="5163" y="19636"/>
              <wp:lineTo x="9405" y="18575"/>
              <wp:lineTo x="11618" y="16983"/>
              <wp:lineTo x="11433" y="13799"/>
              <wp:lineTo x="20100" y="12737"/>
              <wp:lineTo x="19916" y="6899"/>
              <wp:lineTo x="4795" y="4246"/>
              <wp:lineTo x="2397" y="4246"/>
            </wp:wrapPolygon>
          </wp:wrapThrough>
          <wp:docPr id="168169260" name="Picture 6" descr="A black background with a black square&#10;&#10;AI-generated content may be incorrect.">
            <a:extLst xmlns:a="http://schemas.openxmlformats.org/drawingml/2006/main">
              <a:ext uri="{FF2B5EF4-FFF2-40B4-BE49-F238E27FC236}">
                <a16:creationId xmlns:a16="http://schemas.microsoft.com/office/drawing/2014/main" id="{AC41006D-E958-444C-805C-61F8337B6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9260" name="Picture 6" descr="A black background with a black square&#10;&#10;AI-generated content may be incorrect."/>
                  <pic:cNvPicPr/>
                </pic:nvPicPr>
                <pic:blipFill rotWithShape="1">
                  <a:blip r:embed="rId2">
                    <a:extLst>
                      <a:ext uri="{28A0092B-C50C-407E-A947-70E740481C1C}">
                        <a14:useLocalDpi xmlns:a14="http://schemas.microsoft.com/office/drawing/2010/main" val="0"/>
                      </a:ext>
                    </a:extLst>
                  </a:blip>
                  <a:srcRect l="878" t="533" r="57978" b="89349"/>
                  <a:stretch/>
                </pic:blipFill>
                <pic:spPr bwMode="auto">
                  <a:xfrm>
                    <a:off x="0" y="0"/>
                    <a:ext cx="2231390" cy="775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00AD">
      <w:rPr>
        <w:noProof/>
      </w:rPr>
      <w:drawing>
        <wp:anchor distT="0" distB="0" distL="114300" distR="114300" simplePos="0" relativeHeight="251658240" behindDoc="0" locked="0" layoutInCell="1" allowOverlap="1" wp14:anchorId="063388AC" wp14:editId="1589D765">
          <wp:simplePos x="0" y="0"/>
          <wp:positionH relativeFrom="column">
            <wp:posOffset>-942535</wp:posOffset>
          </wp:positionH>
          <wp:positionV relativeFrom="paragraph">
            <wp:posOffset>9526</wp:posOffset>
          </wp:positionV>
          <wp:extent cx="7593330" cy="632118"/>
          <wp:effectExtent l="0" t="0" r="0" b="0"/>
          <wp:wrapNone/>
          <wp:docPr id="263580769" name="Picture 1" descr="A black background with a black square&#10;&#10;AI-generated content may be incorrect.">
            <a:extLst xmlns:a="http://schemas.openxmlformats.org/drawingml/2006/main">
              <a:ext uri="{FF2B5EF4-FFF2-40B4-BE49-F238E27FC236}">
                <a16:creationId xmlns:a16="http://schemas.microsoft.com/office/drawing/2014/main" id="{6D67951D-A7EF-448B-9554-24F0ECD05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257" name="Picture 6" descr="A black background with a black square&#10;&#10;AI-generated content may be incorrect."/>
                  <pic:cNvPicPr/>
                </pic:nvPicPr>
                <pic:blipFill rotWithShape="1">
                  <a:blip r:embed="rId2">
                    <a:extLst>
                      <a:ext uri="{28A0092B-C50C-407E-A947-70E740481C1C}">
                        <a14:useLocalDpi xmlns:a14="http://schemas.microsoft.com/office/drawing/2010/main" val="0"/>
                      </a:ext>
                    </a:extLst>
                  </a:blip>
                  <a:srcRect t="96207"/>
                  <a:stretch/>
                </pic:blipFill>
                <pic:spPr bwMode="auto">
                  <a:xfrm>
                    <a:off x="0" y="0"/>
                    <a:ext cx="7634624" cy="635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A003" w14:textId="77777777" w:rsidR="008944B3" w:rsidRDefault="008944B3" w:rsidP="00C600AD">
      <w:pPr>
        <w:spacing w:after="0" w:line="240" w:lineRule="auto"/>
      </w:pPr>
      <w:r>
        <w:separator/>
      </w:r>
    </w:p>
  </w:footnote>
  <w:footnote w:type="continuationSeparator" w:id="0">
    <w:p w14:paraId="39D2FD91" w14:textId="77777777" w:rsidR="008944B3" w:rsidRDefault="008944B3" w:rsidP="00C60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F956"/>
    <w:multiLevelType w:val="hybridMultilevel"/>
    <w:tmpl w:val="FFFFFFFF"/>
    <w:lvl w:ilvl="0" w:tplc="EA02EE3A">
      <w:start w:val="1"/>
      <w:numFmt w:val="bullet"/>
      <w:lvlText w:val=""/>
      <w:lvlJc w:val="left"/>
      <w:pPr>
        <w:ind w:left="720" w:hanging="360"/>
      </w:pPr>
      <w:rPr>
        <w:rFonts w:ascii="Symbol" w:hAnsi="Symbol" w:hint="default"/>
      </w:rPr>
    </w:lvl>
    <w:lvl w:ilvl="1" w:tplc="C268AA32">
      <w:start w:val="1"/>
      <w:numFmt w:val="bullet"/>
      <w:lvlText w:val="o"/>
      <w:lvlJc w:val="left"/>
      <w:pPr>
        <w:ind w:left="1440" w:hanging="360"/>
      </w:pPr>
      <w:rPr>
        <w:rFonts w:ascii="Courier New" w:hAnsi="Courier New" w:hint="default"/>
      </w:rPr>
    </w:lvl>
    <w:lvl w:ilvl="2" w:tplc="E25ED1BC">
      <w:start w:val="1"/>
      <w:numFmt w:val="bullet"/>
      <w:lvlText w:val=""/>
      <w:lvlJc w:val="left"/>
      <w:pPr>
        <w:ind w:left="2160" w:hanging="360"/>
      </w:pPr>
      <w:rPr>
        <w:rFonts w:ascii="Wingdings" w:hAnsi="Wingdings" w:hint="default"/>
      </w:rPr>
    </w:lvl>
    <w:lvl w:ilvl="3" w:tplc="AD32DAB4">
      <w:start w:val="1"/>
      <w:numFmt w:val="bullet"/>
      <w:lvlText w:val=""/>
      <w:lvlJc w:val="left"/>
      <w:pPr>
        <w:ind w:left="2880" w:hanging="360"/>
      </w:pPr>
      <w:rPr>
        <w:rFonts w:ascii="Symbol" w:hAnsi="Symbol" w:hint="default"/>
      </w:rPr>
    </w:lvl>
    <w:lvl w:ilvl="4" w:tplc="ED30E2B4">
      <w:start w:val="1"/>
      <w:numFmt w:val="bullet"/>
      <w:lvlText w:val="o"/>
      <w:lvlJc w:val="left"/>
      <w:pPr>
        <w:ind w:left="3600" w:hanging="360"/>
      </w:pPr>
      <w:rPr>
        <w:rFonts w:ascii="Courier New" w:hAnsi="Courier New" w:hint="default"/>
      </w:rPr>
    </w:lvl>
    <w:lvl w:ilvl="5" w:tplc="D9E8545A">
      <w:start w:val="1"/>
      <w:numFmt w:val="bullet"/>
      <w:lvlText w:val=""/>
      <w:lvlJc w:val="left"/>
      <w:pPr>
        <w:ind w:left="4320" w:hanging="360"/>
      </w:pPr>
      <w:rPr>
        <w:rFonts w:ascii="Wingdings" w:hAnsi="Wingdings" w:hint="default"/>
      </w:rPr>
    </w:lvl>
    <w:lvl w:ilvl="6" w:tplc="64B60150">
      <w:start w:val="1"/>
      <w:numFmt w:val="bullet"/>
      <w:lvlText w:val=""/>
      <w:lvlJc w:val="left"/>
      <w:pPr>
        <w:ind w:left="5040" w:hanging="360"/>
      </w:pPr>
      <w:rPr>
        <w:rFonts w:ascii="Symbol" w:hAnsi="Symbol" w:hint="default"/>
      </w:rPr>
    </w:lvl>
    <w:lvl w:ilvl="7" w:tplc="D0225C96">
      <w:start w:val="1"/>
      <w:numFmt w:val="bullet"/>
      <w:lvlText w:val="o"/>
      <w:lvlJc w:val="left"/>
      <w:pPr>
        <w:ind w:left="5760" w:hanging="360"/>
      </w:pPr>
      <w:rPr>
        <w:rFonts w:ascii="Courier New" w:hAnsi="Courier New" w:hint="default"/>
      </w:rPr>
    </w:lvl>
    <w:lvl w:ilvl="8" w:tplc="6F1E5352">
      <w:start w:val="1"/>
      <w:numFmt w:val="bullet"/>
      <w:lvlText w:val=""/>
      <w:lvlJc w:val="left"/>
      <w:pPr>
        <w:ind w:left="6480" w:hanging="360"/>
      </w:pPr>
      <w:rPr>
        <w:rFonts w:ascii="Wingdings" w:hAnsi="Wingdings" w:hint="default"/>
      </w:rPr>
    </w:lvl>
  </w:abstractNum>
  <w:abstractNum w:abstractNumId="1" w15:restartNumberingAfterBreak="0">
    <w:nsid w:val="19D01159"/>
    <w:multiLevelType w:val="hybridMultilevel"/>
    <w:tmpl w:val="FFFFFFFF"/>
    <w:lvl w:ilvl="0" w:tplc="AFA00662">
      <w:start w:val="1"/>
      <w:numFmt w:val="bullet"/>
      <w:lvlText w:val=""/>
      <w:lvlJc w:val="left"/>
      <w:pPr>
        <w:ind w:left="720" w:hanging="360"/>
      </w:pPr>
      <w:rPr>
        <w:rFonts w:ascii="Symbol" w:hAnsi="Symbol" w:hint="default"/>
      </w:rPr>
    </w:lvl>
    <w:lvl w:ilvl="1" w:tplc="48346486">
      <w:start w:val="1"/>
      <w:numFmt w:val="bullet"/>
      <w:lvlText w:val="o"/>
      <w:lvlJc w:val="left"/>
      <w:pPr>
        <w:ind w:left="1440" w:hanging="360"/>
      </w:pPr>
      <w:rPr>
        <w:rFonts w:ascii="Courier New" w:hAnsi="Courier New" w:hint="default"/>
      </w:rPr>
    </w:lvl>
    <w:lvl w:ilvl="2" w:tplc="FB9C27FA">
      <w:start w:val="1"/>
      <w:numFmt w:val="bullet"/>
      <w:lvlText w:val=""/>
      <w:lvlJc w:val="left"/>
      <w:pPr>
        <w:ind w:left="2160" w:hanging="360"/>
      </w:pPr>
      <w:rPr>
        <w:rFonts w:ascii="Wingdings" w:hAnsi="Wingdings" w:hint="default"/>
      </w:rPr>
    </w:lvl>
    <w:lvl w:ilvl="3" w:tplc="2E68AAAC">
      <w:start w:val="1"/>
      <w:numFmt w:val="bullet"/>
      <w:lvlText w:val=""/>
      <w:lvlJc w:val="left"/>
      <w:pPr>
        <w:ind w:left="2880" w:hanging="360"/>
      </w:pPr>
      <w:rPr>
        <w:rFonts w:ascii="Symbol" w:hAnsi="Symbol" w:hint="default"/>
      </w:rPr>
    </w:lvl>
    <w:lvl w:ilvl="4" w:tplc="2C10D964">
      <w:start w:val="1"/>
      <w:numFmt w:val="bullet"/>
      <w:lvlText w:val="o"/>
      <w:lvlJc w:val="left"/>
      <w:pPr>
        <w:ind w:left="3600" w:hanging="360"/>
      </w:pPr>
      <w:rPr>
        <w:rFonts w:ascii="Courier New" w:hAnsi="Courier New" w:hint="default"/>
      </w:rPr>
    </w:lvl>
    <w:lvl w:ilvl="5" w:tplc="557C058A">
      <w:start w:val="1"/>
      <w:numFmt w:val="bullet"/>
      <w:lvlText w:val=""/>
      <w:lvlJc w:val="left"/>
      <w:pPr>
        <w:ind w:left="4320" w:hanging="360"/>
      </w:pPr>
      <w:rPr>
        <w:rFonts w:ascii="Wingdings" w:hAnsi="Wingdings" w:hint="default"/>
      </w:rPr>
    </w:lvl>
    <w:lvl w:ilvl="6" w:tplc="C346D410">
      <w:start w:val="1"/>
      <w:numFmt w:val="bullet"/>
      <w:lvlText w:val=""/>
      <w:lvlJc w:val="left"/>
      <w:pPr>
        <w:ind w:left="5040" w:hanging="360"/>
      </w:pPr>
      <w:rPr>
        <w:rFonts w:ascii="Symbol" w:hAnsi="Symbol" w:hint="default"/>
      </w:rPr>
    </w:lvl>
    <w:lvl w:ilvl="7" w:tplc="10B2CD70">
      <w:start w:val="1"/>
      <w:numFmt w:val="bullet"/>
      <w:lvlText w:val="o"/>
      <w:lvlJc w:val="left"/>
      <w:pPr>
        <w:ind w:left="5760" w:hanging="360"/>
      </w:pPr>
      <w:rPr>
        <w:rFonts w:ascii="Courier New" w:hAnsi="Courier New" w:hint="default"/>
      </w:rPr>
    </w:lvl>
    <w:lvl w:ilvl="8" w:tplc="C7E8AFD2">
      <w:start w:val="1"/>
      <w:numFmt w:val="bullet"/>
      <w:lvlText w:val=""/>
      <w:lvlJc w:val="left"/>
      <w:pPr>
        <w:ind w:left="6480" w:hanging="360"/>
      </w:pPr>
      <w:rPr>
        <w:rFonts w:ascii="Wingdings" w:hAnsi="Wingdings" w:hint="default"/>
      </w:rPr>
    </w:lvl>
  </w:abstractNum>
  <w:abstractNum w:abstractNumId="2" w15:restartNumberingAfterBreak="0">
    <w:nsid w:val="3ABF6A96"/>
    <w:multiLevelType w:val="hybridMultilevel"/>
    <w:tmpl w:val="FFFFFFFF"/>
    <w:lvl w:ilvl="0" w:tplc="ACB04D9E">
      <w:start w:val="1"/>
      <w:numFmt w:val="bullet"/>
      <w:lvlText w:val=""/>
      <w:lvlJc w:val="left"/>
      <w:pPr>
        <w:ind w:left="720" w:hanging="360"/>
      </w:pPr>
      <w:rPr>
        <w:rFonts w:ascii="Symbol" w:hAnsi="Symbol" w:hint="default"/>
      </w:rPr>
    </w:lvl>
    <w:lvl w:ilvl="1" w:tplc="2DEE8D3C">
      <w:start w:val="1"/>
      <w:numFmt w:val="bullet"/>
      <w:lvlText w:val="o"/>
      <w:lvlJc w:val="left"/>
      <w:pPr>
        <w:ind w:left="1440" w:hanging="360"/>
      </w:pPr>
      <w:rPr>
        <w:rFonts w:ascii="Courier New" w:hAnsi="Courier New" w:hint="default"/>
      </w:rPr>
    </w:lvl>
    <w:lvl w:ilvl="2" w:tplc="BDF019CC">
      <w:start w:val="1"/>
      <w:numFmt w:val="bullet"/>
      <w:lvlText w:val=""/>
      <w:lvlJc w:val="left"/>
      <w:pPr>
        <w:ind w:left="2160" w:hanging="360"/>
      </w:pPr>
      <w:rPr>
        <w:rFonts w:ascii="Wingdings" w:hAnsi="Wingdings" w:hint="default"/>
      </w:rPr>
    </w:lvl>
    <w:lvl w:ilvl="3" w:tplc="01406216">
      <w:start w:val="1"/>
      <w:numFmt w:val="bullet"/>
      <w:lvlText w:val=""/>
      <w:lvlJc w:val="left"/>
      <w:pPr>
        <w:ind w:left="2880" w:hanging="360"/>
      </w:pPr>
      <w:rPr>
        <w:rFonts w:ascii="Symbol" w:hAnsi="Symbol" w:hint="default"/>
      </w:rPr>
    </w:lvl>
    <w:lvl w:ilvl="4" w:tplc="7980BA56">
      <w:start w:val="1"/>
      <w:numFmt w:val="bullet"/>
      <w:lvlText w:val="o"/>
      <w:lvlJc w:val="left"/>
      <w:pPr>
        <w:ind w:left="3600" w:hanging="360"/>
      </w:pPr>
      <w:rPr>
        <w:rFonts w:ascii="Courier New" w:hAnsi="Courier New" w:hint="default"/>
      </w:rPr>
    </w:lvl>
    <w:lvl w:ilvl="5" w:tplc="003EA656">
      <w:start w:val="1"/>
      <w:numFmt w:val="bullet"/>
      <w:lvlText w:val=""/>
      <w:lvlJc w:val="left"/>
      <w:pPr>
        <w:ind w:left="4320" w:hanging="360"/>
      </w:pPr>
      <w:rPr>
        <w:rFonts w:ascii="Wingdings" w:hAnsi="Wingdings" w:hint="default"/>
      </w:rPr>
    </w:lvl>
    <w:lvl w:ilvl="6" w:tplc="C71C0610">
      <w:start w:val="1"/>
      <w:numFmt w:val="bullet"/>
      <w:lvlText w:val=""/>
      <w:lvlJc w:val="left"/>
      <w:pPr>
        <w:ind w:left="5040" w:hanging="360"/>
      </w:pPr>
      <w:rPr>
        <w:rFonts w:ascii="Symbol" w:hAnsi="Symbol" w:hint="default"/>
      </w:rPr>
    </w:lvl>
    <w:lvl w:ilvl="7" w:tplc="D7CC63F2">
      <w:start w:val="1"/>
      <w:numFmt w:val="bullet"/>
      <w:lvlText w:val="o"/>
      <w:lvlJc w:val="left"/>
      <w:pPr>
        <w:ind w:left="5760" w:hanging="360"/>
      </w:pPr>
      <w:rPr>
        <w:rFonts w:ascii="Courier New" w:hAnsi="Courier New" w:hint="default"/>
      </w:rPr>
    </w:lvl>
    <w:lvl w:ilvl="8" w:tplc="BD96CEEA">
      <w:start w:val="1"/>
      <w:numFmt w:val="bullet"/>
      <w:lvlText w:val=""/>
      <w:lvlJc w:val="left"/>
      <w:pPr>
        <w:ind w:left="6480" w:hanging="360"/>
      </w:pPr>
      <w:rPr>
        <w:rFonts w:ascii="Wingdings" w:hAnsi="Wingdings" w:hint="default"/>
      </w:rPr>
    </w:lvl>
  </w:abstractNum>
  <w:abstractNum w:abstractNumId="3" w15:restartNumberingAfterBreak="0">
    <w:nsid w:val="4D1D4535"/>
    <w:multiLevelType w:val="hybridMultilevel"/>
    <w:tmpl w:val="FFFFFFFF"/>
    <w:lvl w:ilvl="0" w:tplc="8DA446F6">
      <w:start w:val="1"/>
      <w:numFmt w:val="bullet"/>
      <w:lvlText w:val="·"/>
      <w:lvlJc w:val="left"/>
      <w:pPr>
        <w:ind w:left="720" w:hanging="360"/>
      </w:pPr>
      <w:rPr>
        <w:rFonts w:ascii="Symbol" w:hAnsi="Symbol" w:hint="default"/>
      </w:rPr>
    </w:lvl>
    <w:lvl w:ilvl="1" w:tplc="9A8EEA62">
      <w:start w:val="1"/>
      <w:numFmt w:val="bullet"/>
      <w:lvlText w:val="o"/>
      <w:lvlJc w:val="left"/>
      <w:pPr>
        <w:ind w:left="1440" w:hanging="360"/>
      </w:pPr>
      <w:rPr>
        <w:rFonts w:ascii="Courier New" w:hAnsi="Courier New" w:hint="default"/>
      </w:rPr>
    </w:lvl>
    <w:lvl w:ilvl="2" w:tplc="38C662E4">
      <w:start w:val="1"/>
      <w:numFmt w:val="bullet"/>
      <w:lvlText w:val=""/>
      <w:lvlJc w:val="left"/>
      <w:pPr>
        <w:ind w:left="2160" w:hanging="360"/>
      </w:pPr>
      <w:rPr>
        <w:rFonts w:ascii="Wingdings" w:hAnsi="Wingdings" w:hint="default"/>
      </w:rPr>
    </w:lvl>
    <w:lvl w:ilvl="3" w:tplc="545E01C2">
      <w:start w:val="1"/>
      <w:numFmt w:val="bullet"/>
      <w:lvlText w:val=""/>
      <w:lvlJc w:val="left"/>
      <w:pPr>
        <w:ind w:left="2880" w:hanging="360"/>
      </w:pPr>
      <w:rPr>
        <w:rFonts w:ascii="Symbol" w:hAnsi="Symbol" w:hint="default"/>
      </w:rPr>
    </w:lvl>
    <w:lvl w:ilvl="4" w:tplc="ECE6C00A">
      <w:start w:val="1"/>
      <w:numFmt w:val="bullet"/>
      <w:lvlText w:val="o"/>
      <w:lvlJc w:val="left"/>
      <w:pPr>
        <w:ind w:left="3600" w:hanging="360"/>
      </w:pPr>
      <w:rPr>
        <w:rFonts w:ascii="Courier New" w:hAnsi="Courier New" w:hint="default"/>
      </w:rPr>
    </w:lvl>
    <w:lvl w:ilvl="5" w:tplc="E3B074F2">
      <w:start w:val="1"/>
      <w:numFmt w:val="bullet"/>
      <w:lvlText w:val=""/>
      <w:lvlJc w:val="left"/>
      <w:pPr>
        <w:ind w:left="4320" w:hanging="360"/>
      </w:pPr>
      <w:rPr>
        <w:rFonts w:ascii="Wingdings" w:hAnsi="Wingdings" w:hint="default"/>
      </w:rPr>
    </w:lvl>
    <w:lvl w:ilvl="6" w:tplc="06E86CB2">
      <w:start w:val="1"/>
      <w:numFmt w:val="bullet"/>
      <w:lvlText w:val=""/>
      <w:lvlJc w:val="left"/>
      <w:pPr>
        <w:ind w:left="5040" w:hanging="360"/>
      </w:pPr>
      <w:rPr>
        <w:rFonts w:ascii="Symbol" w:hAnsi="Symbol" w:hint="default"/>
      </w:rPr>
    </w:lvl>
    <w:lvl w:ilvl="7" w:tplc="8752ED4A">
      <w:start w:val="1"/>
      <w:numFmt w:val="bullet"/>
      <w:lvlText w:val="o"/>
      <w:lvlJc w:val="left"/>
      <w:pPr>
        <w:ind w:left="5760" w:hanging="360"/>
      </w:pPr>
      <w:rPr>
        <w:rFonts w:ascii="Courier New" w:hAnsi="Courier New" w:hint="default"/>
      </w:rPr>
    </w:lvl>
    <w:lvl w:ilvl="8" w:tplc="E4DC862C">
      <w:start w:val="1"/>
      <w:numFmt w:val="bullet"/>
      <w:lvlText w:val=""/>
      <w:lvlJc w:val="left"/>
      <w:pPr>
        <w:ind w:left="6480" w:hanging="360"/>
      </w:pPr>
      <w:rPr>
        <w:rFonts w:ascii="Wingdings" w:hAnsi="Wingdings" w:hint="default"/>
      </w:rPr>
    </w:lvl>
  </w:abstractNum>
  <w:num w:numId="1" w16cid:durableId="1200901223">
    <w:abstractNumId w:val="3"/>
  </w:num>
  <w:num w:numId="2" w16cid:durableId="1633243906">
    <w:abstractNumId w:val="1"/>
  </w:num>
  <w:num w:numId="3" w16cid:durableId="18511385">
    <w:abstractNumId w:val="2"/>
  </w:num>
  <w:num w:numId="4" w16cid:durableId="37624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EDCB9"/>
    <w:rsid w:val="000C2308"/>
    <w:rsid w:val="0011617A"/>
    <w:rsid w:val="001D5FEC"/>
    <w:rsid w:val="001E4494"/>
    <w:rsid w:val="001E6D7F"/>
    <w:rsid w:val="00214C53"/>
    <w:rsid w:val="00316C08"/>
    <w:rsid w:val="00375BB4"/>
    <w:rsid w:val="00442F52"/>
    <w:rsid w:val="004F5793"/>
    <w:rsid w:val="00502B74"/>
    <w:rsid w:val="00551DF2"/>
    <w:rsid w:val="005D1AD6"/>
    <w:rsid w:val="006316EA"/>
    <w:rsid w:val="007A7FB8"/>
    <w:rsid w:val="007C5041"/>
    <w:rsid w:val="00824D8B"/>
    <w:rsid w:val="00886CA9"/>
    <w:rsid w:val="008944B3"/>
    <w:rsid w:val="008C272D"/>
    <w:rsid w:val="008C310B"/>
    <w:rsid w:val="008E3772"/>
    <w:rsid w:val="0091373B"/>
    <w:rsid w:val="00915CA6"/>
    <w:rsid w:val="00936239"/>
    <w:rsid w:val="009C1B03"/>
    <w:rsid w:val="009F42B4"/>
    <w:rsid w:val="00A01738"/>
    <w:rsid w:val="00A0343E"/>
    <w:rsid w:val="00A20E24"/>
    <w:rsid w:val="00A71D1B"/>
    <w:rsid w:val="00AD38E0"/>
    <w:rsid w:val="00B27BB6"/>
    <w:rsid w:val="00BB7329"/>
    <w:rsid w:val="00BC01D2"/>
    <w:rsid w:val="00C11EDD"/>
    <w:rsid w:val="00C600AD"/>
    <w:rsid w:val="00CD1E15"/>
    <w:rsid w:val="00D12E71"/>
    <w:rsid w:val="00DD0E3E"/>
    <w:rsid w:val="00DE6412"/>
    <w:rsid w:val="00E90C6F"/>
    <w:rsid w:val="00EA2BFF"/>
    <w:rsid w:val="00ED164A"/>
    <w:rsid w:val="00ED7074"/>
    <w:rsid w:val="00EE2D26"/>
    <w:rsid w:val="00F269BB"/>
    <w:rsid w:val="00F368B3"/>
    <w:rsid w:val="00F43419"/>
    <w:rsid w:val="00FE5EA1"/>
    <w:rsid w:val="00FF67E1"/>
    <w:rsid w:val="014E2B48"/>
    <w:rsid w:val="0179981B"/>
    <w:rsid w:val="01E2456A"/>
    <w:rsid w:val="044029D9"/>
    <w:rsid w:val="04917859"/>
    <w:rsid w:val="052D3922"/>
    <w:rsid w:val="057895C6"/>
    <w:rsid w:val="05BE21E9"/>
    <w:rsid w:val="060C458A"/>
    <w:rsid w:val="06DCB1E3"/>
    <w:rsid w:val="0754C291"/>
    <w:rsid w:val="0843CB0A"/>
    <w:rsid w:val="0861AD14"/>
    <w:rsid w:val="08B50267"/>
    <w:rsid w:val="091740A2"/>
    <w:rsid w:val="098A0012"/>
    <w:rsid w:val="0B4E15CD"/>
    <w:rsid w:val="0BB9A191"/>
    <w:rsid w:val="0BFD083D"/>
    <w:rsid w:val="0C8E09FA"/>
    <w:rsid w:val="0D4AD969"/>
    <w:rsid w:val="0DD396B8"/>
    <w:rsid w:val="0DEA0305"/>
    <w:rsid w:val="0E513283"/>
    <w:rsid w:val="0F12BBAC"/>
    <w:rsid w:val="0F32AD45"/>
    <w:rsid w:val="0FD0CE30"/>
    <w:rsid w:val="11190F9A"/>
    <w:rsid w:val="12DEDCB9"/>
    <w:rsid w:val="12E6AA33"/>
    <w:rsid w:val="13FB8F07"/>
    <w:rsid w:val="1464078A"/>
    <w:rsid w:val="14DC606F"/>
    <w:rsid w:val="1776396A"/>
    <w:rsid w:val="18342213"/>
    <w:rsid w:val="1A0EB335"/>
    <w:rsid w:val="1B384CF4"/>
    <w:rsid w:val="1BB74E12"/>
    <w:rsid w:val="1BDB2515"/>
    <w:rsid w:val="1C59A997"/>
    <w:rsid w:val="1D233D4B"/>
    <w:rsid w:val="1E2988C5"/>
    <w:rsid w:val="2022D961"/>
    <w:rsid w:val="20427715"/>
    <w:rsid w:val="21269D61"/>
    <w:rsid w:val="213E34CD"/>
    <w:rsid w:val="21576020"/>
    <w:rsid w:val="2575243F"/>
    <w:rsid w:val="25A8A049"/>
    <w:rsid w:val="25F2C1DD"/>
    <w:rsid w:val="274B2E0B"/>
    <w:rsid w:val="274FA17B"/>
    <w:rsid w:val="27A27DD0"/>
    <w:rsid w:val="2847498A"/>
    <w:rsid w:val="288E33A8"/>
    <w:rsid w:val="2A7F4199"/>
    <w:rsid w:val="2BDC7DFD"/>
    <w:rsid w:val="2C879DED"/>
    <w:rsid w:val="2D39A093"/>
    <w:rsid w:val="2EB71915"/>
    <w:rsid w:val="2FD2A1AD"/>
    <w:rsid w:val="308BBB99"/>
    <w:rsid w:val="309471E8"/>
    <w:rsid w:val="321EB545"/>
    <w:rsid w:val="32B33A81"/>
    <w:rsid w:val="33AEBEBC"/>
    <w:rsid w:val="3432D464"/>
    <w:rsid w:val="34B46930"/>
    <w:rsid w:val="3528A7CE"/>
    <w:rsid w:val="354CDAF0"/>
    <w:rsid w:val="35D1E1B7"/>
    <w:rsid w:val="35D21469"/>
    <w:rsid w:val="368E65BF"/>
    <w:rsid w:val="36E56672"/>
    <w:rsid w:val="37CC63AC"/>
    <w:rsid w:val="38244E08"/>
    <w:rsid w:val="38C8E00C"/>
    <w:rsid w:val="395E93AF"/>
    <w:rsid w:val="39F4D0A7"/>
    <w:rsid w:val="3A51800E"/>
    <w:rsid w:val="3A682349"/>
    <w:rsid w:val="3B01ABBB"/>
    <w:rsid w:val="3B2431B8"/>
    <w:rsid w:val="3C9D7148"/>
    <w:rsid w:val="3D247382"/>
    <w:rsid w:val="3EF8614C"/>
    <w:rsid w:val="4073B38F"/>
    <w:rsid w:val="416C4321"/>
    <w:rsid w:val="426F92C0"/>
    <w:rsid w:val="42A330B6"/>
    <w:rsid w:val="43ECAB89"/>
    <w:rsid w:val="44E550A7"/>
    <w:rsid w:val="4843007E"/>
    <w:rsid w:val="485A6B4E"/>
    <w:rsid w:val="48960684"/>
    <w:rsid w:val="4CDC3135"/>
    <w:rsid w:val="4D87D7C6"/>
    <w:rsid w:val="4DA48EF5"/>
    <w:rsid w:val="4DBE1276"/>
    <w:rsid w:val="4F04FA68"/>
    <w:rsid w:val="50820444"/>
    <w:rsid w:val="514A3BE3"/>
    <w:rsid w:val="51FC5501"/>
    <w:rsid w:val="527E5BBD"/>
    <w:rsid w:val="5292C5BE"/>
    <w:rsid w:val="52AF3767"/>
    <w:rsid w:val="551D4D5D"/>
    <w:rsid w:val="559F2246"/>
    <w:rsid w:val="5712349D"/>
    <w:rsid w:val="574D2F95"/>
    <w:rsid w:val="574F8F0E"/>
    <w:rsid w:val="59ACB85D"/>
    <w:rsid w:val="59CDA4F2"/>
    <w:rsid w:val="5B1F5C77"/>
    <w:rsid w:val="5BA98F25"/>
    <w:rsid w:val="5BF251DF"/>
    <w:rsid w:val="5E2B04D0"/>
    <w:rsid w:val="5EB41AEA"/>
    <w:rsid w:val="5F08E5DC"/>
    <w:rsid w:val="5F339988"/>
    <w:rsid w:val="5F410F72"/>
    <w:rsid w:val="6271D2CB"/>
    <w:rsid w:val="6346CD94"/>
    <w:rsid w:val="635CCE1A"/>
    <w:rsid w:val="64192CE9"/>
    <w:rsid w:val="65AF6A88"/>
    <w:rsid w:val="66C59958"/>
    <w:rsid w:val="66D86DEE"/>
    <w:rsid w:val="6828FB02"/>
    <w:rsid w:val="68377FBF"/>
    <w:rsid w:val="69176AB8"/>
    <w:rsid w:val="6A17F4C4"/>
    <w:rsid w:val="6B8861DB"/>
    <w:rsid w:val="6C033C39"/>
    <w:rsid w:val="6C49BD2B"/>
    <w:rsid w:val="6CA38CB4"/>
    <w:rsid w:val="6EA4FF38"/>
    <w:rsid w:val="6EBF65FA"/>
    <w:rsid w:val="6F009B04"/>
    <w:rsid w:val="6F318C75"/>
    <w:rsid w:val="6F6675BF"/>
    <w:rsid w:val="6F784C30"/>
    <w:rsid w:val="6F95EB5B"/>
    <w:rsid w:val="705DFD6A"/>
    <w:rsid w:val="714CE0FB"/>
    <w:rsid w:val="724F828F"/>
    <w:rsid w:val="73489DF0"/>
    <w:rsid w:val="74AEC191"/>
    <w:rsid w:val="75A09259"/>
    <w:rsid w:val="75EF6CD1"/>
    <w:rsid w:val="76FA2EB6"/>
    <w:rsid w:val="77102AD6"/>
    <w:rsid w:val="77DF8E6E"/>
    <w:rsid w:val="784D854C"/>
    <w:rsid w:val="795C8237"/>
    <w:rsid w:val="7AAF277E"/>
    <w:rsid w:val="7AE75070"/>
    <w:rsid w:val="7CA4B9CD"/>
    <w:rsid w:val="7CF39755"/>
    <w:rsid w:val="7CF3BFAF"/>
    <w:rsid w:val="7D04E8B6"/>
    <w:rsid w:val="7D43B9C3"/>
    <w:rsid w:val="7E288B8A"/>
    <w:rsid w:val="7E5FF5DA"/>
    <w:rsid w:val="7F19D1AD"/>
    <w:rsid w:val="7F4F1579"/>
    <w:rsid w:val="7F9D3CD2"/>
    <w:rsid w:val="7FA9D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DCB9"/>
  <w15:chartTrackingRefBased/>
  <w15:docId w15:val="{B19E25BB-AD30-41C1-B53C-15A30397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F410F72"/>
    <w:pPr>
      <w:ind w:left="720"/>
      <w:contextualSpacing/>
    </w:pPr>
  </w:style>
  <w:style w:type="character" w:styleId="Hyperlink">
    <w:name w:val="Hyperlink"/>
    <w:basedOn w:val="DefaultParagraphFont"/>
    <w:uiPriority w:val="99"/>
    <w:unhideWhenUsed/>
    <w:rsid w:val="5F410F7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0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AD"/>
  </w:style>
  <w:style w:type="paragraph" w:styleId="Footer">
    <w:name w:val="footer"/>
    <w:basedOn w:val="Normal"/>
    <w:link w:val="FooterChar"/>
    <w:uiPriority w:val="99"/>
    <w:unhideWhenUsed/>
    <w:rsid w:val="00C60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AD"/>
  </w:style>
  <w:style w:type="paragraph" w:styleId="Revision">
    <w:name w:val="Revision"/>
    <w:hidden/>
    <w:uiPriority w:val="99"/>
    <w:semiHidden/>
    <w:rsid w:val="00886CA9"/>
    <w:pPr>
      <w:spacing w:after="0" w:line="240" w:lineRule="auto"/>
    </w:pPr>
  </w:style>
  <w:style w:type="character" w:styleId="UnresolvedMention">
    <w:name w:val="Unresolved Mention"/>
    <w:basedOn w:val="DefaultParagraphFont"/>
    <w:uiPriority w:val="99"/>
    <w:semiHidden/>
    <w:unhideWhenUsed/>
    <w:rsid w:val="00ED7074"/>
    <w:rPr>
      <w:color w:val="605E5C"/>
      <w:shd w:val="clear" w:color="auto" w:fill="E1DFDD"/>
    </w:rPr>
  </w:style>
  <w:style w:type="character" w:styleId="FollowedHyperlink">
    <w:name w:val="FollowedHyperlink"/>
    <w:basedOn w:val="DefaultParagraphFont"/>
    <w:uiPriority w:val="99"/>
    <w:semiHidden/>
    <w:unhideWhenUsed/>
    <w:rsid w:val="00EE2D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hp.cymru@wales.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hp.wales/en/knowledge-base/use-of-langu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hp.wales/en/sshp-suicide-awareness-e-modu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f3306d-c4c8-4181-ad68-d877717d5706">
      <Terms xmlns="http://schemas.microsoft.com/office/infopath/2007/PartnerControls"/>
    </lcf76f155ced4ddcb4097134ff3c332f>
    <TaxCatchAll xmlns="bbe44fd4-9d49-4c8d-ac20-523763f31d5f" xsi:nil="true"/>
    <DocumentType xmlns="c3f3306d-c4c8-4181-ad68-d877717d5706">Miscellaneous</DocumentType>
    <Person xmlns="c3f3306d-c4c8-4181-ad68-d877717d5706">
      <UserInfo>
        <DisplayName/>
        <AccountId xsi:nil="true"/>
        <AccountType/>
      </UserInfo>
    </Person>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000F6A9837F4A9C135A84C31F246F" ma:contentTypeVersion="23" ma:contentTypeDescription="Create a new document." ma:contentTypeScope="" ma:versionID="d7e7af05f988bb12ff6d5c0fd31f7435">
  <xsd:schema xmlns:xsd="http://www.w3.org/2001/XMLSchema" xmlns:xs="http://www.w3.org/2001/XMLSchema" xmlns:p="http://schemas.microsoft.com/office/2006/metadata/properties" xmlns:ns1="http://schemas.microsoft.com/sharepoint/v3" xmlns:ns2="c3f3306d-c4c8-4181-ad68-d877717d5706" xmlns:ns3="bbe44fd4-9d49-4c8d-ac20-523763f31d5f" targetNamespace="http://schemas.microsoft.com/office/2006/metadata/properties" ma:root="true" ma:fieldsID="fd7686e0f8de136431b7b521d2019640" ns1:_="" ns2:_="" ns3:_="">
    <xsd:import namespace="http://schemas.microsoft.com/sharepoint/v3"/>
    <xsd:import namespace="c3f3306d-c4c8-4181-ad68-d877717d5706"/>
    <xsd:import namespace="bbe44fd4-9d49-4c8d-ac20-523763f31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ocumentType"/>
                <xsd:element ref="ns2:Pers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3306d-c4c8-4181-ad68-d877717d5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DocumentType" ma:index="23" ma:displayName="Document Type" ma:format="Dropdown" ma:indexed="true" ma:internalName="DocumentType">
      <xsd:simpleType>
        <xsd:restriction base="dms:Choice">
          <xsd:enumeration value="Agenda"/>
          <xsd:enumeration value="Minutes"/>
          <xsd:enumeration value="Action Log"/>
          <xsd:enumeration value="Governance"/>
          <xsd:enumeration value="Template"/>
          <xsd:enumeration value="Event"/>
          <xsd:enumeration value="Induction"/>
          <xsd:enumeration value="Policy"/>
          <xsd:enumeration value="Presentation"/>
          <xsd:enumeration value="Reporting"/>
          <xsd:enumeration value="Procurement"/>
          <xsd:enumeration value="Training"/>
          <xsd:enumeration value="Expenses"/>
          <xsd:enumeration value="Highlight Report"/>
          <xsd:enumeration value="Workplan"/>
          <xsd:enumeration value="Meeting Recording"/>
          <xsd:enumeration value="Recruitment"/>
          <xsd:enumeration value="Miscellaneous"/>
          <xsd:enumeration value="Generic"/>
        </xsd:restriction>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44fd4-9d49-4c8d-ac20-523763f31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3524ad-213e-4c5f-9765-f981856656f6}" ma:internalName="TaxCatchAll" ma:showField="CatchAllData" ma:web="bbe44fd4-9d49-4c8d-ac20-523763f3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E68DE-BB32-48BF-A56B-1629DD9EEE7A}">
  <ds:schemaRefs>
    <ds:schemaRef ds:uri="http://schemas.microsoft.com/office/2006/metadata/properties"/>
    <ds:schemaRef ds:uri="http://schemas.microsoft.com/office/infopath/2007/PartnerControls"/>
    <ds:schemaRef ds:uri="c3f3306d-c4c8-4181-ad68-d877717d5706"/>
    <ds:schemaRef ds:uri="bbe44fd4-9d49-4c8d-ac20-523763f31d5f"/>
    <ds:schemaRef ds:uri="http://schemas.microsoft.com/sharepoint/v3"/>
  </ds:schemaRefs>
</ds:datastoreItem>
</file>

<file path=customXml/itemProps2.xml><?xml version="1.0" encoding="utf-8"?>
<ds:datastoreItem xmlns:ds="http://schemas.openxmlformats.org/officeDocument/2006/customXml" ds:itemID="{B9494207-A9F3-405C-A281-A030D9452BC6}">
  <ds:schemaRefs>
    <ds:schemaRef ds:uri="http://schemas.microsoft.com/sharepoint/v3/contenttype/forms"/>
  </ds:schemaRefs>
</ds:datastoreItem>
</file>

<file path=customXml/itemProps3.xml><?xml version="1.0" encoding="utf-8"?>
<ds:datastoreItem xmlns:ds="http://schemas.openxmlformats.org/officeDocument/2006/customXml" ds:itemID="{E7616E51-8266-4052-80A1-F1340F742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f3306d-c4c8-4181-ad68-d877717d5706"/>
    <ds:schemaRef ds:uri="bbe44fd4-9d49-4c8d-ac20-523763f3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Tranter (NHS Executive)</dc:creator>
  <cp:keywords/>
  <dc:description/>
  <cp:lastModifiedBy>Jemma Rees (NHS Wales Performance and Improvement)</cp:lastModifiedBy>
  <cp:revision>29</cp:revision>
  <dcterms:created xsi:type="dcterms:W3CDTF">2024-12-05T00:47:00Z</dcterms:created>
  <dcterms:modified xsi:type="dcterms:W3CDTF">2026-07-02T15:54:00Z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0x010100204000F6A9837F4A9C135A84C31F246F</vt:lpwstr>
  </property>
  <property fmtid="{D5CDD505-2E9C-101B-9397-08002B2CF9AE}" pid="3" name="MediaServiceImageTags">
    <vt:lpwstr/>
  </property>
</Properties>
</file>